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605" w:rsidRPr="00EB6605" w:rsidRDefault="00EB6605" w:rsidP="00EB6605">
      <w:pPr>
        <w:spacing w:before="100" w:beforeAutospacing="1" w:after="100" w:afterAutospacing="1" w:line="240" w:lineRule="auto"/>
        <w:outlineLvl w:val="1"/>
        <w:rPr>
          <w:rFonts w:ascii="Tahoma" w:eastAsia="Times New Roman" w:hAnsi="Tahoma" w:cs="Tahoma"/>
          <w:color w:val="3D70A7"/>
          <w:sz w:val="28"/>
          <w:szCs w:val="28"/>
          <w:lang w:eastAsia="ru-RU"/>
        </w:rPr>
      </w:pPr>
      <w:r w:rsidRPr="00EB6605">
        <w:rPr>
          <w:rFonts w:ascii="Tahoma" w:eastAsia="Times New Roman" w:hAnsi="Tahoma" w:cs="Tahoma"/>
          <w:color w:val="3D70A7"/>
          <w:sz w:val="28"/>
          <w:szCs w:val="28"/>
          <w:lang w:eastAsia="ru-RU"/>
        </w:rPr>
        <w:t>Скважинное подземное выщелачивание (СПВ)</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Pr>
          <w:rFonts w:ascii="Tahoma" w:eastAsia="Times New Roman" w:hAnsi="Tahoma" w:cs="Tahoma"/>
          <w:b/>
          <w:bCs/>
          <w:noProof/>
          <w:color w:val="3D70A7"/>
          <w:sz w:val="28"/>
          <w:szCs w:val="28"/>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885950" cy="1704975"/>
            <wp:effectExtent l="19050" t="0" r="0" b="0"/>
            <wp:wrapSquare wrapText="bothSides"/>
            <wp:docPr id="2" name="Рисунок 2" descr="http://www.armz.ru/media/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rmz.ru/media/Image/002.jpg"/>
                    <pic:cNvPicPr>
                      <a:picLocks noChangeAspect="1" noChangeArrowheads="1"/>
                    </pic:cNvPicPr>
                  </pic:nvPicPr>
                  <pic:blipFill>
                    <a:blip r:embed="rId5" cstate="print"/>
                    <a:srcRect/>
                    <a:stretch>
                      <a:fillRect/>
                    </a:stretch>
                  </pic:blipFill>
                  <pic:spPr bwMode="auto">
                    <a:xfrm>
                      <a:off x="0" y="0"/>
                      <a:ext cx="1885950" cy="1704975"/>
                    </a:xfrm>
                    <a:prstGeom prst="rect">
                      <a:avLst/>
                    </a:prstGeom>
                    <a:noFill/>
                    <a:ln w="9525">
                      <a:noFill/>
                      <a:miter lim="800000"/>
                      <a:headEnd/>
                      <a:tailEnd/>
                    </a:ln>
                  </pic:spPr>
                </pic:pic>
              </a:graphicData>
            </a:graphic>
          </wp:anchor>
        </w:drawing>
      </w:r>
      <w:r w:rsidRPr="00EB6605">
        <w:rPr>
          <w:rFonts w:ascii="Tahoma" w:eastAsia="Times New Roman" w:hAnsi="Tahoma" w:cs="Tahoma"/>
          <w:color w:val="50585B"/>
          <w:sz w:val="20"/>
          <w:szCs w:val="20"/>
          <w:lang w:eastAsia="ru-RU"/>
        </w:rPr>
        <w:t xml:space="preserve">Среди преимуществ данного способа: снижение угрозы для персонала в случае чрезвычайных ситуаций, более низкая стоимость эксплуатации, отсутствие необходимости </w:t>
      </w:r>
      <w:proofErr w:type="gramStart"/>
      <w:r w:rsidRPr="00EB6605">
        <w:rPr>
          <w:rFonts w:ascii="Tahoma" w:eastAsia="Times New Roman" w:hAnsi="Tahoma" w:cs="Tahoma"/>
          <w:color w:val="50585B"/>
          <w:sz w:val="20"/>
          <w:szCs w:val="20"/>
          <w:lang w:eastAsia="ru-RU"/>
        </w:rPr>
        <w:t>в</w:t>
      </w:r>
      <w:proofErr w:type="gramEnd"/>
      <w:r w:rsidRPr="00EB6605">
        <w:rPr>
          <w:rFonts w:ascii="Tahoma" w:eastAsia="Times New Roman" w:hAnsi="Tahoma" w:cs="Tahoma"/>
          <w:color w:val="50585B"/>
          <w:sz w:val="20"/>
          <w:szCs w:val="20"/>
          <w:lang w:eastAsia="ru-RU"/>
        </w:rPr>
        <w:t xml:space="preserve"> крупных </w:t>
      </w:r>
      <w:proofErr w:type="spellStart"/>
      <w:r w:rsidRPr="00EB6605">
        <w:rPr>
          <w:rFonts w:ascii="Tahoma" w:eastAsia="Times New Roman" w:hAnsi="Tahoma" w:cs="Tahoma"/>
          <w:color w:val="50585B"/>
          <w:sz w:val="20"/>
          <w:szCs w:val="20"/>
          <w:lang w:eastAsia="ru-RU"/>
        </w:rPr>
        <w:t>хвостохранилищах</w:t>
      </w:r>
      <w:proofErr w:type="spellEnd"/>
      <w:r w:rsidRPr="00EB6605">
        <w:rPr>
          <w:rFonts w:ascii="Tahoma" w:eastAsia="Times New Roman" w:hAnsi="Tahoma" w:cs="Tahoma"/>
          <w:color w:val="50585B"/>
          <w:sz w:val="20"/>
          <w:szCs w:val="20"/>
          <w:lang w:eastAsia="ru-RU"/>
        </w:rPr>
        <w:t>.</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Разработка месторождений методом СПВ по сравнению с традиционными горными способами в значительной степени уменьшает вред, приносимый окружающей среде, и имеет свои отличительные особенности.</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Этап рекультивации территории и подземных вод при способе СПВ заключается в ликвидации технологических скважин эксплуатационного блока, рекультивации загрязненных участков почв и передачи территории в сельскохозяйственный оборот. В целом рекультивация территории после СПВ характеризуется следующими свойствами:</w:t>
      </w:r>
    </w:p>
    <w:p w:rsidR="00EB6605" w:rsidRPr="00EB6605" w:rsidRDefault="00EB6605" w:rsidP="00EB6605">
      <w:pPr>
        <w:numPr>
          <w:ilvl w:val="0"/>
          <w:numId w:val="1"/>
        </w:num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природные подземные воды в области распространения рудных залежей в большинстве случаев не пригодны для питьевого и технического водоснабжения, так как по типу минерализации относятся с солоноватым водам (минерализация выше 2 г/л), содержат выше ПДК (предельно допустимая концентрация) продукты радиоактивного распада урана (прежде всего радий) и сероводород;</w:t>
      </w:r>
    </w:p>
    <w:p w:rsidR="00EB6605" w:rsidRPr="00EB6605" w:rsidRDefault="00EB6605" w:rsidP="00EB6605">
      <w:pPr>
        <w:numPr>
          <w:ilvl w:val="0"/>
          <w:numId w:val="1"/>
        </w:num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гидрогеологические условия характеризуются застойным гидродинамическим режимом (скорость движения подземных вод — доли сантиметра в год), что не способствует распространению загрязненных подземных вод на значительные расстояния;</w:t>
      </w:r>
    </w:p>
    <w:p w:rsidR="00EB6605" w:rsidRPr="00EB6605" w:rsidRDefault="00EB6605" w:rsidP="00EB6605">
      <w:pPr>
        <w:numPr>
          <w:ilvl w:val="0"/>
          <w:numId w:val="1"/>
        </w:num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 xml:space="preserve">наличие у геологической среды защитных свойств, обусловленных </w:t>
      </w:r>
      <w:proofErr w:type="spellStart"/>
      <w:r w:rsidRPr="00EB6605">
        <w:rPr>
          <w:rFonts w:ascii="Tahoma" w:eastAsia="Times New Roman" w:hAnsi="Tahoma" w:cs="Tahoma"/>
          <w:color w:val="50585B"/>
          <w:sz w:val="20"/>
          <w:szCs w:val="20"/>
          <w:lang w:eastAsia="ru-RU"/>
        </w:rPr>
        <w:t>нейтрализационной</w:t>
      </w:r>
      <w:proofErr w:type="spellEnd"/>
      <w:r w:rsidRPr="00EB6605">
        <w:rPr>
          <w:rFonts w:ascii="Tahoma" w:eastAsia="Times New Roman" w:hAnsi="Tahoma" w:cs="Tahoma"/>
          <w:color w:val="50585B"/>
          <w:sz w:val="20"/>
          <w:szCs w:val="20"/>
          <w:lang w:eastAsia="ru-RU"/>
        </w:rPr>
        <w:t xml:space="preserve"> и восстановительной емкостью горных пород и присутствием биоактивных сульфатредуцирующих и денитрифицирующих бактерий.</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 xml:space="preserve">Разработка месторождений методом СПВ через систему скважин оказывает несравнимо меньшее отрицательное влияние на поверхность земли. Отсутствуют оседания и нарушения земной поверхности, отвалы </w:t>
      </w:r>
      <w:proofErr w:type="spellStart"/>
      <w:r w:rsidRPr="00EB6605">
        <w:rPr>
          <w:rFonts w:ascii="Tahoma" w:eastAsia="Times New Roman" w:hAnsi="Tahoma" w:cs="Tahoma"/>
          <w:color w:val="50585B"/>
          <w:sz w:val="20"/>
          <w:szCs w:val="20"/>
          <w:lang w:eastAsia="ru-RU"/>
        </w:rPr>
        <w:t>забалансовых</w:t>
      </w:r>
      <w:proofErr w:type="spellEnd"/>
      <w:r w:rsidRPr="00EB6605">
        <w:rPr>
          <w:rFonts w:ascii="Tahoma" w:eastAsia="Times New Roman" w:hAnsi="Tahoma" w:cs="Tahoma"/>
          <w:color w:val="50585B"/>
          <w:sz w:val="20"/>
          <w:szCs w:val="20"/>
          <w:lang w:eastAsia="ru-RU"/>
        </w:rPr>
        <w:t xml:space="preserve"> руд и пустых пород, а также </w:t>
      </w:r>
      <w:proofErr w:type="spellStart"/>
      <w:r w:rsidRPr="00EB6605">
        <w:rPr>
          <w:rFonts w:ascii="Tahoma" w:eastAsia="Times New Roman" w:hAnsi="Tahoma" w:cs="Tahoma"/>
          <w:color w:val="50585B"/>
          <w:sz w:val="20"/>
          <w:szCs w:val="20"/>
          <w:lang w:eastAsia="ru-RU"/>
        </w:rPr>
        <w:t>хвостохранилища</w:t>
      </w:r>
      <w:proofErr w:type="spellEnd"/>
      <w:r w:rsidRPr="00EB6605">
        <w:rPr>
          <w:rFonts w:ascii="Tahoma" w:eastAsia="Times New Roman" w:hAnsi="Tahoma" w:cs="Tahoma"/>
          <w:color w:val="50585B"/>
          <w:sz w:val="20"/>
          <w:szCs w:val="20"/>
          <w:lang w:eastAsia="ru-RU"/>
        </w:rPr>
        <w:t xml:space="preserve">. На всех переделах, включая вскрытие и подготовку рудных тел, отсутствует пылеобразование. Несоизмеримо сокращаются объемы перерабатывающего производства за счет исключения из технологической схемы громоздких операций </w:t>
      </w:r>
      <w:proofErr w:type="spellStart"/>
      <w:r w:rsidRPr="00EB6605">
        <w:rPr>
          <w:rFonts w:ascii="Tahoma" w:eastAsia="Times New Roman" w:hAnsi="Tahoma" w:cs="Tahoma"/>
          <w:color w:val="50585B"/>
          <w:sz w:val="20"/>
          <w:szCs w:val="20"/>
          <w:lang w:eastAsia="ru-RU"/>
        </w:rPr>
        <w:t>рудоприемки</w:t>
      </w:r>
      <w:proofErr w:type="spellEnd"/>
      <w:r w:rsidRPr="00EB6605">
        <w:rPr>
          <w:rFonts w:ascii="Tahoma" w:eastAsia="Times New Roman" w:hAnsi="Tahoma" w:cs="Tahoma"/>
          <w:color w:val="50585B"/>
          <w:sz w:val="20"/>
          <w:szCs w:val="20"/>
          <w:lang w:eastAsia="ru-RU"/>
        </w:rPr>
        <w:t xml:space="preserve">, </w:t>
      </w:r>
      <w:proofErr w:type="spellStart"/>
      <w:r w:rsidRPr="00EB6605">
        <w:rPr>
          <w:rFonts w:ascii="Tahoma" w:eastAsia="Times New Roman" w:hAnsi="Tahoma" w:cs="Tahoma"/>
          <w:color w:val="50585B"/>
          <w:sz w:val="20"/>
          <w:szCs w:val="20"/>
          <w:lang w:eastAsia="ru-RU"/>
        </w:rPr>
        <w:t>рудоподготовки</w:t>
      </w:r>
      <w:proofErr w:type="spellEnd"/>
      <w:r w:rsidRPr="00EB6605">
        <w:rPr>
          <w:rFonts w:ascii="Tahoma" w:eastAsia="Times New Roman" w:hAnsi="Tahoma" w:cs="Tahoma"/>
          <w:color w:val="50585B"/>
          <w:sz w:val="20"/>
          <w:szCs w:val="20"/>
          <w:lang w:eastAsia="ru-RU"/>
        </w:rPr>
        <w:t xml:space="preserve"> и выщелачивания. В целях предотвращения разливов технологических растворов перед началом эксплуатации ряда или участка производится снятие с поверхностного плодородного слоя почвы по всей длине ряда эксплуатационных скважин на ширину</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4 — 5 м</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и глубиной</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40 — 50 см.</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После отработки запасов на участке плодородный слой почвы возвращается на прежнее место.</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Таким образом, при относительно небольших трудозатратах и средствах через непродолжительный отрезок времени</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(4 — 5 лет)</w:t>
      </w:r>
      <w:r w:rsidRPr="00EB6605">
        <w:rPr>
          <w:rFonts w:ascii="Tahoma" w:eastAsia="Times New Roman" w:hAnsi="Tahoma" w:cs="Tahoma"/>
          <w:color w:val="50585B"/>
          <w:sz w:val="20"/>
          <w:lang w:eastAsia="ru-RU"/>
        </w:rPr>
        <w:t> </w:t>
      </w:r>
      <w:r w:rsidRPr="00EB6605">
        <w:rPr>
          <w:rFonts w:ascii="Tahoma" w:eastAsia="Times New Roman" w:hAnsi="Tahoma" w:cs="Tahoma"/>
          <w:color w:val="50585B"/>
          <w:sz w:val="20"/>
          <w:szCs w:val="20"/>
          <w:lang w:eastAsia="ru-RU"/>
        </w:rPr>
        <w:t>от начала эксплуатации по мере отработки участков земля возвращается в сельскохозяйственное землепользование без ухудшения ее плодородия. Вследствие того, что отработка запасов по отдельным участкам СПВ длится только несколько лет, отпадает необходимость исключения из землепользования на весь период отработки всей площади месторождения, и в этом проявляется дополнительная положительная особенность способа СПВ. По мере погашения запасов отработанные участки передаются сельскому хозяйству.</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Скважинный вариант вскрытия и отработки месторождений полностью исключает какие-либо источники пылевыделения и в </w:t>
      </w:r>
      <w:proofErr w:type="gramStart"/>
      <w:r w:rsidRPr="00EB6605">
        <w:rPr>
          <w:rFonts w:ascii="Tahoma" w:eastAsia="Times New Roman" w:hAnsi="Tahoma" w:cs="Tahoma"/>
          <w:color w:val="50585B"/>
          <w:sz w:val="20"/>
          <w:szCs w:val="20"/>
          <w:lang w:eastAsia="ru-RU"/>
        </w:rPr>
        <w:t>десятки</w:t>
      </w:r>
      <w:proofErr w:type="gramEnd"/>
      <w:r w:rsidRPr="00EB6605">
        <w:rPr>
          <w:rFonts w:ascii="Tahoma" w:eastAsia="Times New Roman" w:hAnsi="Tahoma" w:cs="Tahoma"/>
          <w:color w:val="50585B"/>
          <w:sz w:val="20"/>
          <w:szCs w:val="20"/>
          <w:lang w:eastAsia="ru-RU"/>
        </w:rPr>
        <w:t xml:space="preserve"> раз уменьшает выделение радиоактивных веществ в атмосферу.</w:t>
      </w:r>
    </w:p>
    <w:p w:rsidR="00EB6605" w:rsidRPr="00EB6605" w:rsidRDefault="00EB6605" w:rsidP="00EB6605">
      <w:pPr>
        <w:spacing w:before="100" w:beforeAutospacing="1" w:after="100" w:afterAutospacing="1" w:line="240" w:lineRule="auto"/>
        <w:rPr>
          <w:rFonts w:ascii="Tahoma" w:eastAsia="Times New Roman" w:hAnsi="Tahoma" w:cs="Tahoma"/>
          <w:color w:val="50585B"/>
          <w:sz w:val="20"/>
          <w:szCs w:val="20"/>
          <w:lang w:eastAsia="ru-RU"/>
        </w:rPr>
      </w:pPr>
      <w:r w:rsidRPr="00EB6605">
        <w:rPr>
          <w:rFonts w:ascii="Tahoma" w:eastAsia="Times New Roman" w:hAnsi="Tahoma" w:cs="Tahoma"/>
          <w:color w:val="50585B"/>
          <w:sz w:val="20"/>
          <w:szCs w:val="20"/>
          <w:lang w:eastAsia="ru-RU"/>
        </w:rPr>
        <w:t>Итак, из всех известных способов добычи метод СПВ наиболее безопасный с экологической точки зрения.</w:t>
      </w:r>
    </w:p>
    <w:p w:rsidR="00A30282" w:rsidRDefault="00A30282"/>
    <w:p w:rsidR="00EB6605" w:rsidRDefault="00EB6605"/>
    <w:p w:rsidR="00EB6605" w:rsidRPr="00EB6605" w:rsidRDefault="00EB6605" w:rsidP="00EB6605">
      <w:pPr>
        <w:shd w:val="clear" w:color="auto" w:fill="FFFFFF"/>
        <w:spacing w:after="0" w:line="240" w:lineRule="auto"/>
        <w:rPr>
          <w:rFonts w:ascii="Arial" w:eastAsia="Times New Roman" w:hAnsi="Arial" w:cs="Arial"/>
          <w:color w:val="8B4513"/>
          <w:sz w:val="20"/>
          <w:szCs w:val="20"/>
          <w:lang w:eastAsia="ru-RU"/>
        </w:rPr>
      </w:pPr>
      <w:r w:rsidRPr="00EB6605">
        <w:rPr>
          <w:rFonts w:ascii="Arial" w:eastAsia="Times New Roman" w:hAnsi="Arial" w:cs="Arial"/>
          <w:color w:val="8B4513"/>
          <w:sz w:val="20"/>
          <w:szCs w:val="20"/>
          <w:lang w:eastAsia="ru-RU"/>
        </w:rPr>
        <w:lastRenderedPageBreak/>
        <w:t>Подземное выщелачивание</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полезных ископаемых, метод добычи полезного ископаемого избирательным растворением его химическими реагентами в рудном теле на месте залегания с извлечением на поверхность.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применяется </w:t>
      </w:r>
      <w:proofErr w:type="gramStart"/>
      <w:r w:rsidRPr="00EB6605">
        <w:rPr>
          <w:rFonts w:ascii="Arial" w:eastAsia="Times New Roman" w:hAnsi="Arial" w:cs="Arial"/>
          <w:color w:val="000000"/>
          <w:sz w:val="20"/>
          <w:szCs w:val="20"/>
          <w:lang w:eastAsia="ru-RU"/>
        </w:rPr>
        <w:t>для</w:t>
      </w:r>
      <w:proofErr w:type="gramEnd"/>
      <w:r w:rsidRPr="00EB6605">
        <w:rPr>
          <w:rFonts w:ascii="Arial" w:eastAsia="Times New Roman" w:hAnsi="Arial" w:cs="Arial"/>
          <w:color w:val="000000"/>
          <w:sz w:val="20"/>
          <w:szCs w:val="20"/>
          <w:lang w:eastAsia="ru-RU"/>
        </w:rPr>
        <w:t xml:space="preserve"> добычи цветных металлов и редких элементов, имеются предпосылки использования его для разработки фосфатов, боратов и др.</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П. в. цветных металлов известно с 16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w:t>
      </w:r>
      <w:proofErr w:type="gramStart"/>
      <w:r w:rsidRPr="00EB6605">
        <w:rPr>
          <w:rFonts w:ascii="Arial" w:eastAsia="Times New Roman" w:hAnsi="Arial" w:cs="Arial"/>
          <w:color w:val="000000"/>
          <w:sz w:val="20"/>
          <w:szCs w:val="20"/>
          <w:lang w:eastAsia="ru-RU"/>
        </w:rPr>
        <w:t>Испания</w:t>
      </w:r>
      <w:proofErr w:type="gramEnd"/>
      <w:r w:rsidRPr="00EB6605">
        <w:rPr>
          <w:rFonts w:ascii="Arial" w:eastAsia="Times New Roman" w:hAnsi="Arial" w:cs="Arial"/>
          <w:color w:val="000000"/>
          <w:sz w:val="20"/>
          <w:szCs w:val="20"/>
          <w:lang w:eastAsia="ru-RU"/>
        </w:rPr>
        <w:t xml:space="preserve">), в крупных промышленных масштабах метод впервые освоен на медном руднике </w:t>
      </w:r>
      <w:proofErr w:type="spellStart"/>
      <w:r w:rsidRPr="00EB6605">
        <w:rPr>
          <w:rFonts w:ascii="Arial" w:eastAsia="Times New Roman" w:hAnsi="Arial" w:cs="Arial"/>
          <w:color w:val="000000"/>
          <w:sz w:val="20"/>
          <w:szCs w:val="20"/>
          <w:lang w:eastAsia="ru-RU"/>
        </w:rPr>
        <w:t>Кананеа</w:t>
      </w:r>
      <w:proofErr w:type="spellEnd"/>
      <w:r w:rsidRPr="00EB6605">
        <w:rPr>
          <w:rFonts w:ascii="Arial" w:eastAsia="Times New Roman" w:hAnsi="Arial" w:cs="Arial"/>
          <w:color w:val="000000"/>
          <w:sz w:val="20"/>
          <w:szCs w:val="20"/>
          <w:lang w:eastAsia="ru-RU"/>
        </w:rPr>
        <w:t xml:space="preserve"> в Мексике (1924) и на </w:t>
      </w:r>
      <w:proofErr w:type="spellStart"/>
      <w:r w:rsidRPr="00EB6605">
        <w:rPr>
          <w:rFonts w:ascii="Arial" w:eastAsia="Times New Roman" w:hAnsi="Arial" w:cs="Arial"/>
          <w:color w:val="000000"/>
          <w:sz w:val="20"/>
          <w:szCs w:val="20"/>
          <w:lang w:eastAsia="ru-RU"/>
        </w:rPr>
        <w:t>медноколчеданных</w:t>
      </w:r>
      <w:proofErr w:type="spellEnd"/>
      <w:r w:rsidRPr="00EB6605">
        <w:rPr>
          <w:rFonts w:ascii="Arial" w:eastAsia="Times New Roman" w:hAnsi="Arial" w:cs="Arial"/>
          <w:color w:val="000000"/>
          <w:sz w:val="20"/>
          <w:szCs w:val="20"/>
          <w:lang w:eastAsia="ru-RU"/>
        </w:rPr>
        <w:t xml:space="preserve"> месторождениях Урала (1939—42). Урановые руды разрабатываются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с 1957.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применяется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ряде стран (США, СССР, Франция, Япония, ГДР и др.); в 1974 этим способом было получено 20% мировой добычи меди.</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Выбор растворителя при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зависит </w:t>
      </w:r>
      <w:proofErr w:type="gramStart"/>
      <w:r w:rsidRPr="00EB6605">
        <w:rPr>
          <w:rFonts w:ascii="Arial" w:eastAsia="Times New Roman" w:hAnsi="Arial" w:cs="Arial"/>
          <w:color w:val="000000"/>
          <w:sz w:val="20"/>
          <w:szCs w:val="20"/>
          <w:lang w:eastAsia="ru-RU"/>
        </w:rPr>
        <w:t>от</w:t>
      </w:r>
      <w:proofErr w:type="gramEnd"/>
      <w:r w:rsidRPr="00EB6605">
        <w:rPr>
          <w:rFonts w:ascii="Arial" w:eastAsia="Times New Roman" w:hAnsi="Arial" w:cs="Arial"/>
          <w:color w:val="000000"/>
          <w:sz w:val="20"/>
          <w:szCs w:val="20"/>
          <w:lang w:eastAsia="ru-RU"/>
        </w:rPr>
        <w:t xml:space="preserve"> состава руды и характера химического соединения, образуемого полезным компонентом.</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относится </w:t>
      </w:r>
      <w:proofErr w:type="gramStart"/>
      <w:r w:rsidRPr="00EB6605">
        <w:rPr>
          <w:rFonts w:ascii="Arial" w:eastAsia="Times New Roman" w:hAnsi="Arial" w:cs="Arial"/>
          <w:color w:val="000000"/>
          <w:sz w:val="20"/>
          <w:szCs w:val="20"/>
          <w:lang w:eastAsia="ru-RU"/>
        </w:rPr>
        <w:t>к</w:t>
      </w:r>
      <w:proofErr w:type="gramEnd"/>
      <w:r w:rsidRPr="00EB6605">
        <w:rPr>
          <w:rFonts w:ascii="Arial" w:eastAsia="Times New Roman" w:hAnsi="Arial" w:cs="Arial"/>
          <w:color w:val="000000"/>
          <w:sz w:val="20"/>
          <w:szCs w:val="20"/>
          <w:lang w:eastAsia="ru-RU"/>
        </w:rPr>
        <w:t xml:space="preserve"> фильтрационным процессам и основано на химических реакциях «твёрдое тело — жидкость».</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При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w:t>
      </w:r>
      <w:proofErr w:type="gramStart"/>
      <w:r w:rsidRPr="00EB6605">
        <w:rPr>
          <w:rFonts w:ascii="Arial" w:eastAsia="Times New Roman" w:hAnsi="Arial" w:cs="Arial"/>
          <w:color w:val="000000"/>
          <w:sz w:val="20"/>
          <w:szCs w:val="20"/>
          <w:lang w:eastAsia="ru-RU"/>
        </w:rPr>
        <w:t>проницаемых</w:t>
      </w:r>
      <w:proofErr w:type="gramEnd"/>
      <w:r w:rsidRPr="00EB6605">
        <w:rPr>
          <w:rFonts w:ascii="Arial" w:eastAsia="Times New Roman" w:hAnsi="Arial" w:cs="Arial"/>
          <w:color w:val="000000"/>
          <w:sz w:val="20"/>
          <w:szCs w:val="20"/>
          <w:lang w:eastAsia="ru-RU"/>
        </w:rPr>
        <w:t xml:space="preserve"> рудных тел месторождение вскрывается системой скважин, располагаемых (в плане) рядами, многоугольниками, кольцами. В скважины подают растворитель, который, фильтруясь по пласту, выщелачивает полезные компоненты. Продуктивный раствор откачивается через другие скважины (</w:t>
      </w:r>
      <w:r w:rsidRPr="00EB6605">
        <w:rPr>
          <w:rFonts w:ascii="Arial" w:eastAsia="Times New Roman" w:hAnsi="Arial" w:cs="Arial"/>
          <w:b/>
          <w:bCs/>
          <w:i/>
          <w:iCs/>
          <w:color w:val="000000"/>
          <w:sz w:val="20"/>
          <w:lang w:eastAsia="ru-RU"/>
        </w:rPr>
        <w:t>рис. 1</w:t>
      </w:r>
      <w:r w:rsidRPr="00EB6605">
        <w:rPr>
          <w:rFonts w:ascii="Arial" w:eastAsia="Times New Roman" w:hAnsi="Arial" w:cs="Arial"/>
          <w:color w:val="000000"/>
          <w:sz w:val="20"/>
          <w:szCs w:val="20"/>
          <w:lang w:eastAsia="ru-RU"/>
        </w:rPr>
        <w:t>). В случае монолитных непроницаемых рудных тел залежь вскрывают подземными горными выработками, отдельные рудные блоки дробят с помощью буровзрывных работ (</w:t>
      </w:r>
      <w:r w:rsidRPr="00EB6605">
        <w:rPr>
          <w:rFonts w:ascii="Arial" w:eastAsia="Times New Roman" w:hAnsi="Arial" w:cs="Arial"/>
          <w:b/>
          <w:bCs/>
          <w:i/>
          <w:iCs/>
          <w:color w:val="000000"/>
          <w:sz w:val="20"/>
          <w:lang w:eastAsia="ru-RU"/>
        </w:rPr>
        <w:t>рис. 2</w:t>
      </w:r>
      <w:r w:rsidRPr="00EB6605">
        <w:rPr>
          <w:rFonts w:ascii="Arial" w:eastAsia="Times New Roman" w:hAnsi="Arial" w:cs="Arial"/>
          <w:color w:val="000000"/>
          <w:sz w:val="20"/>
          <w:szCs w:val="20"/>
          <w:lang w:eastAsia="ru-RU"/>
        </w:rPr>
        <w:t>). Затем на верхнем горизонте массив орошают растворителем, который, стекая вниз, растворяет полезное ископаемое. На нижнем горизонте растворы собирают и перекачивают на поверхность для переработки.</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Одно из основных препятствий для применения 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 </w:t>
      </w:r>
      <w:proofErr w:type="gramStart"/>
      <w:r w:rsidRPr="00EB6605">
        <w:rPr>
          <w:rFonts w:ascii="Arial" w:eastAsia="Times New Roman" w:hAnsi="Arial" w:cs="Arial"/>
          <w:color w:val="000000"/>
          <w:sz w:val="20"/>
          <w:szCs w:val="20"/>
          <w:lang w:eastAsia="ru-RU"/>
        </w:rPr>
        <w:t>низкая</w:t>
      </w:r>
      <w:proofErr w:type="gramEnd"/>
      <w:r w:rsidRPr="00EB6605">
        <w:rPr>
          <w:rFonts w:ascii="Arial" w:eastAsia="Times New Roman" w:hAnsi="Arial" w:cs="Arial"/>
          <w:color w:val="000000"/>
          <w:sz w:val="20"/>
          <w:szCs w:val="20"/>
          <w:lang w:eastAsia="ru-RU"/>
        </w:rPr>
        <w:t xml:space="preserve"> скорость реакций, для увеличения которой ведутся исследования способов воздействия на рудный массив электрическими и электромагнитными полями, предварительным нагревом, обжигом и др. Для П. в. применяются также ядерные взрывы и микробиологические способы (см.</w:t>
      </w:r>
      <w:r w:rsidRPr="00EB6605">
        <w:rPr>
          <w:rFonts w:ascii="Arial" w:eastAsia="Times New Roman" w:hAnsi="Arial" w:cs="Arial"/>
          <w:color w:val="000000"/>
          <w:sz w:val="20"/>
          <w:lang w:eastAsia="ru-RU"/>
        </w:rPr>
        <w:t> </w:t>
      </w:r>
      <w:hyperlink r:id="rId6" w:history="1">
        <w:r w:rsidRPr="00EB6605">
          <w:rPr>
            <w:rFonts w:ascii="Arial" w:eastAsia="Times New Roman" w:hAnsi="Arial" w:cs="Arial"/>
            <w:color w:val="5F5DB7"/>
            <w:sz w:val="20"/>
            <w:u w:val="single"/>
            <w:lang w:eastAsia="ru-RU"/>
          </w:rPr>
          <w:t>Бактериальное выщелачивание</w:t>
        </w:r>
      </w:hyperlink>
      <w:r w:rsidRPr="00EB6605">
        <w:rPr>
          <w:rFonts w:ascii="Arial" w:eastAsia="Times New Roman" w:hAnsi="Arial" w:cs="Arial"/>
          <w:color w:val="000000"/>
          <w:sz w:val="20"/>
          <w:szCs w:val="20"/>
          <w:lang w:eastAsia="ru-RU"/>
        </w:rPr>
        <w:t>).</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w:t>
      </w:r>
      <w:r w:rsidRPr="00EB6605">
        <w:rPr>
          <w:rFonts w:ascii="Arial" w:eastAsia="Times New Roman" w:hAnsi="Arial" w:cs="Arial"/>
          <w:i/>
          <w:iCs/>
          <w:color w:val="000000"/>
          <w:sz w:val="20"/>
          <w:lang w:eastAsia="ru-RU"/>
        </w:rPr>
        <w:t> </w:t>
      </w:r>
      <w:r w:rsidRPr="00EB6605">
        <w:rPr>
          <w:rFonts w:ascii="Arial" w:eastAsia="Times New Roman" w:hAnsi="Arial" w:cs="Arial"/>
          <w:color w:val="000000"/>
          <w:sz w:val="20"/>
          <w:szCs w:val="20"/>
          <w:lang w:eastAsia="ru-RU"/>
        </w:rPr>
        <w:t xml:space="preserve">П.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позволяет вовлечь </w:t>
      </w:r>
      <w:proofErr w:type="gramStart"/>
      <w:r w:rsidRPr="00EB6605">
        <w:rPr>
          <w:rFonts w:ascii="Arial" w:eastAsia="Times New Roman" w:hAnsi="Arial" w:cs="Arial"/>
          <w:color w:val="000000"/>
          <w:sz w:val="20"/>
          <w:szCs w:val="20"/>
          <w:lang w:eastAsia="ru-RU"/>
        </w:rPr>
        <w:t>в</w:t>
      </w:r>
      <w:proofErr w:type="gramEnd"/>
      <w:r w:rsidRPr="00EB6605">
        <w:rPr>
          <w:rFonts w:ascii="Arial" w:eastAsia="Times New Roman" w:hAnsi="Arial" w:cs="Arial"/>
          <w:color w:val="000000"/>
          <w:sz w:val="20"/>
          <w:szCs w:val="20"/>
          <w:lang w:eastAsia="ru-RU"/>
        </w:rPr>
        <w:t xml:space="preserve"> разработку месторождения полезных ископаемых, залегающие на значительных глубинах (недоступных по экономическим показателям для обычной технологии), месторождения бедных руд и т.п. См. </w:t>
      </w:r>
      <w:proofErr w:type="spellStart"/>
      <w:r w:rsidRPr="00EB6605">
        <w:rPr>
          <w:rFonts w:ascii="Arial" w:eastAsia="Times New Roman" w:hAnsi="Arial" w:cs="Arial"/>
          <w:color w:val="000000"/>
          <w:sz w:val="20"/>
          <w:szCs w:val="20"/>
          <w:lang w:eastAsia="ru-RU"/>
        </w:rPr>
        <w:t>также</w:t>
      </w:r>
      <w:hyperlink r:id="rId7" w:history="1">
        <w:r w:rsidRPr="00EB6605">
          <w:rPr>
            <w:rFonts w:ascii="Arial" w:eastAsia="Times New Roman" w:hAnsi="Arial" w:cs="Arial"/>
            <w:color w:val="5F5DB7"/>
            <w:sz w:val="20"/>
            <w:u w:val="single"/>
            <w:lang w:eastAsia="ru-RU"/>
          </w:rPr>
          <w:t>Гидрометаллургия</w:t>
        </w:r>
        <w:proofErr w:type="spellEnd"/>
      </w:hyperlink>
      <w:r w:rsidRPr="00EB6605">
        <w:rPr>
          <w:rFonts w:ascii="Arial" w:eastAsia="Times New Roman" w:hAnsi="Arial" w:cs="Arial"/>
          <w:color w:val="000000"/>
          <w:sz w:val="20"/>
          <w:szCs w:val="20"/>
          <w:lang w:eastAsia="ru-RU"/>
        </w:rPr>
        <w:t>,</w:t>
      </w:r>
      <w:r w:rsidRPr="00EB6605">
        <w:rPr>
          <w:rFonts w:ascii="Arial" w:eastAsia="Times New Roman" w:hAnsi="Arial" w:cs="Arial"/>
          <w:color w:val="000000"/>
          <w:sz w:val="20"/>
          <w:lang w:eastAsia="ru-RU"/>
        </w:rPr>
        <w:t> </w:t>
      </w:r>
      <w:hyperlink r:id="rId8" w:history="1">
        <w:r w:rsidRPr="00EB6605">
          <w:rPr>
            <w:rFonts w:ascii="Arial" w:eastAsia="Times New Roman" w:hAnsi="Arial" w:cs="Arial"/>
            <w:color w:val="5F5DB7"/>
            <w:sz w:val="20"/>
            <w:u w:val="single"/>
            <w:lang w:eastAsia="ru-RU"/>
          </w:rPr>
          <w:t>Выщелачивание</w:t>
        </w:r>
      </w:hyperlink>
      <w:r w:rsidRPr="00EB6605">
        <w:rPr>
          <w:rFonts w:ascii="Arial" w:eastAsia="Times New Roman" w:hAnsi="Arial" w:cs="Arial"/>
          <w:color w:val="000000"/>
          <w:sz w:val="20"/>
          <w:szCs w:val="20"/>
          <w:lang w:eastAsia="ru-RU"/>
        </w:rPr>
        <w:t>.</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w:t>
      </w:r>
      <w:r w:rsidRPr="00EB6605">
        <w:rPr>
          <w:rFonts w:ascii="Arial" w:eastAsia="Times New Roman" w:hAnsi="Arial" w:cs="Arial"/>
          <w:color w:val="000000"/>
          <w:sz w:val="20"/>
          <w:lang w:eastAsia="ru-RU"/>
        </w:rPr>
        <w:t> </w:t>
      </w:r>
      <w:proofErr w:type="gramStart"/>
      <w:r w:rsidRPr="00EB6605">
        <w:rPr>
          <w:rFonts w:ascii="Arial" w:eastAsia="Times New Roman" w:hAnsi="Arial" w:cs="Arial"/>
          <w:i/>
          <w:iCs/>
          <w:color w:val="000000"/>
          <w:sz w:val="20"/>
          <w:lang w:eastAsia="ru-RU"/>
        </w:rPr>
        <w:t>Лит</w:t>
      </w:r>
      <w:proofErr w:type="gramEnd"/>
      <w:r w:rsidRPr="00EB6605">
        <w:rPr>
          <w:rFonts w:ascii="Arial" w:eastAsia="Times New Roman" w:hAnsi="Arial" w:cs="Arial"/>
          <w:i/>
          <w:iCs/>
          <w:color w:val="000000"/>
          <w:sz w:val="20"/>
          <w:lang w:eastAsia="ru-RU"/>
        </w:rPr>
        <w:t>.:</w:t>
      </w:r>
      <w:r w:rsidRPr="00EB6605">
        <w:rPr>
          <w:rFonts w:ascii="Arial" w:eastAsia="Times New Roman" w:hAnsi="Arial" w:cs="Arial"/>
          <w:color w:val="000000"/>
          <w:sz w:val="20"/>
          <w:lang w:eastAsia="ru-RU"/>
        </w:rPr>
        <w:t> </w:t>
      </w:r>
      <w:proofErr w:type="spellStart"/>
      <w:r w:rsidRPr="00EB6605">
        <w:rPr>
          <w:rFonts w:ascii="Arial" w:eastAsia="Times New Roman" w:hAnsi="Arial" w:cs="Arial"/>
          <w:color w:val="000000"/>
          <w:sz w:val="20"/>
          <w:szCs w:val="20"/>
          <w:lang w:eastAsia="ru-RU"/>
        </w:rPr>
        <w:t>Бахуров</w:t>
      </w:r>
      <w:proofErr w:type="spellEnd"/>
      <w:r w:rsidRPr="00EB6605">
        <w:rPr>
          <w:rFonts w:ascii="Arial" w:eastAsia="Times New Roman" w:hAnsi="Arial" w:cs="Arial"/>
          <w:color w:val="000000"/>
          <w:sz w:val="20"/>
          <w:szCs w:val="20"/>
          <w:lang w:eastAsia="ru-RU"/>
        </w:rPr>
        <w:t xml:space="preserve"> В. Г., Руднева И. К., Химическая добыча полезных ископаемых, М., 1972; Арене В. Ж. [и др.], Геотехнологические способы добычи полезных ископаемых, в кн.: Технология разработки месторождений твёрдых полезных ископаемых, т. 11, М., 1973.</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w:t>
      </w:r>
      <w:r w:rsidRPr="00EB6605">
        <w:rPr>
          <w:rFonts w:ascii="Arial" w:eastAsia="Times New Roman" w:hAnsi="Arial" w:cs="Arial"/>
          <w:i/>
          <w:iCs/>
          <w:color w:val="000000"/>
          <w:sz w:val="20"/>
          <w:lang w:eastAsia="ru-RU"/>
        </w:rPr>
        <w:t xml:space="preserve"> В. Ж. </w:t>
      </w:r>
      <w:proofErr w:type="spellStart"/>
      <w:r w:rsidRPr="00EB6605">
        <w:rPr>
          <w:rFonts w:ascii="Arial" w:eastAsia="Times New Roman" w:hAnsi="Arial" w:cs="Arial"/>
          <w:i/>
          <w:iCs/>
          <w:color w:val="000000"/>
          <w:sz w:val="20"/>
          <w:lang w:eastAsia="ru-RU"/>
        </w:rPr>
        <w:t>Аренс</w:t>
      </w:r>
      <w:proofErr w:type="spellEnd"/>
      <w:r w:rsidRPr="00EB6605">
        <w:rPr>
          <w:rFonts w:ascii="Arial" w:eastAsia="Times New Roman" w:hAnsi="Arial" w:cs="Arial"/>
          <w:i/>
          <w:iCs/>
          <w:color w:val="000000"/>
          <w:sz w:val="20"/>
          <w:lang w:eastAsia="ru-RU"/>
        </w:rPr>
        <w:t>.</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w:t>
      </w:r>
      <w:r>
        <w:rPr>
          <w:rFonts w:ascii="Arial" w:eastAsia="Times New Roman" w:hAnsi="Arial" w:cs="Arial"/>
          <w:noProof/>
          <w:color w:val="000000"/>
          <w:sz w:val="20"/>
          <w:szCs w:val="20"/>
          <w:lang w:eastAsia="ru-RU"/>
        </w:rPr>
        <w:drawing>
          <wp:inline distT="0" distB="0" distL="0" distR="0">
            <wp:extent cx="4760595" cy="2961640"/>
            <wp:effectExtent l="19050" t="0" r="1905" b="0"/>
            <wp:docPr id="3" name="Рисунок 1" descr="Рис. 1. Схема отработки пластовых месторождений выщелачиванием через скважины: 1 — узел приготовления растворов; 2 — нагнетательные скважины; 3 — дренажные скважины; 4 — компрессор; 5 — воздухопровод для эрлифта продуктивных растворов; 6 — коллектор для продуктивных растворов; 7 — отстойник; 8 — установка для переработки раств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1. Схема отработки пластовых месторождений выщелачиванием через скважины: 1 — узел приготовления растворов; 2 — нагнетательные скважины; 3 — дренажные скважины; 4 — компрессор; 5 — воздухопровод для эрлифта продуктивных растворов; 6 — коллектор для продуктивных растворов; 7 — отстойник; 8 — установка для переработки раствора."/>
                    <pic:cNvPicPr>
                      <a:picLocks noChangeAspect="1" noChangeArrowheads="1"/>
                    </pic:cNvPicPr>
                  </pic:nvPicPr>
                  <pic:blipFill>
                    <a:blip r:embed="rId9" cstate="print"/>
                    <a:srcRect/>
                    <a:stretch>
                      <a:fillRect/>
                    </a:stretch>
                  </pic:blipFill>
                  <pic:spPr bwMode="auto">
                    <a:xfrm>
                      <a:off x="0" y="0"/>
                      <a:ext cx="4760595" cy="2961640"/>
                    </a:xfrm>
                    <a:prstGeom prst="rect">
                      <a:avLst/>
                    </a:prstGeom>
                    <a:noFill/>
                    <a:ln w="9525">
                      <a:noFill/>
                      <a:miter lim="800000"/>
                      <a:headEnd/>
                      <a:tailEnd/>
                    </a:ln>
                  </pic:spPr>
                </pic:pic>
              </a:graphicData>
            </a:graphic>
          </wp:inline>
        </w:drawing>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Рис. 1. Схема отработки пластовых месторождений выщелачиванием через скважины: 1 — узел приготовления растворов; 2 — нагнетательные скважины; 3 — дренажные скважины; 4 — компрессор; 5 — воздухопровод для эрлифта продуктивных растворов; 6 — коллектор для продуктивных растворов; 7 — отстойник; 8 — установка для переработки раствора.</w:t>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lastRenderedPageBreak/>
        <w:t>        </w:t>
      </w:r>
      <w:r>
        <w:rPr>
          <w:rFonts w:ascii="Arial" w:eastAsia="Times New Roman" w:hAnsi="Arial" w:cs="Arial"/>
          <w:noProof/>
          <w:color w:val="000000"/>
          <w:sz w:val="20"/>
          <w:szCs w:val="20"/>
          <w:lang w:eastAsia="ru-RU"/>
        </w:rPr>
        <w:drawing>
          <wp:inline distT="0" distB="0" distL="0" distR="0">
            <wp:extent cx="4462780" cy="3806825"/>
            <wp:effectExtent l="19050" t="0" r="0" b="0"/>
            <wp:docPr id="1" name="Рисунок 2" descr="Рис. 2. Схема подземного выщелачивания скальных руд: 1 — ёмкость для растворителя; 2 — насос; 3 — трубопровод рабочих растворов; 4 — отрабатываемый блок руды; 5 — ёмкость для сбора продуктивных растворов; 6 — насос; 7 — ёмкость для продуктивных растворов на поверхности; 8 — сорбционная установка; 9 — отстойник отработанного раствора; 10 — ёмкость для доукрепления растворов; 11 — пресс-фильт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2. Схема подземного выщелачивания скальных руд: 1 — ёмкость для растворителя; 2 — насос; 3 — трубопровод рабочих растворов; 4 — отрабатываемый блок руды; 5 — ёмкость для сбора продуктивных растворов; 6 — насос; 7 — ёмкость для продуктивных растворов на поверхности; 8 — сорбционная установка; 9 — отстойник отработанного раствора; 10 — ёмкость для доукрепления растворов; 11 — пресс-фильтр."/>
                    <pic:cNvPicPr>
                      <a:picLocks noChangeAspect="1" noChangeArrowheads="1"/>
                    </pic:cNvPicPr>
                  </pic:nvPicPr>
                  <pic:blipFill>
                    <a:blip r:embed="rId10" cstate="print"/>
                    <a:srcRect/>
                    <a:stretch>
                      <a:fillRect/>
                    </a:stretch>
                  </pic:blipFill>
                  <pic:spPr bwMode="auto">
                    <a:xfrm>
                      <a:off x="0" y="0"/>
                      <a:ext cx="4462780" cy="3806825"/>
                    </a:xfrm>
                    <a:prstGeom prst="rect">
                      <a:avLst/>
                    </a:prstGeom>
                    <a:noFill/>
                    <a:ln w="9525">
                      <a:noFill/>
                      <a:miter lim="800000"/>
                      <a:headEnd/>
                      <a:tailEnd/>
                    </a:ln>
                  </pic:spPr>
                </pic:pic>
              </a:graphicData>
            </a:graphic>
          </wp:inline>
        </w:drawing>
      </w:r>
    </w:p>
    <w:p w:rsidR="00EB6605" w:rsidRPr="00EB6605" w:rsidRDefault="00EB6605" w:rsidP="00EB6605">
      <w:pPr>
        <w:shd w:val="clear" w:color="auto" w:fill="FFFFFF"/>
        <w:spacing w:after="0" w:line="240" w:lineRule="auto"/>
        <w:ind w:left="720"/>
        <w:rPr>
          <w:rFonts w:ascii="Arial" w:eastAsia="Times New Roman" w:hAnsi="Arial" w:cs="Arial"/>
          <w:color w:val="000000"/>
          <w:sz w:val="20"/>
          <w:szCs w:val="20"/>
          <w:lang w:eastAsia="ru-RU"/>
        </w:rPr>
      </w:pPr>
      <w:r w:rsidRPr="00EB6605">
        <w:rPr>
          <w:rFonts w:ascii="Arial" w:eastAsia="Times New Roman" w:hAnsi="Arial" w:cs="Arial"/>
          <w:color w:val="000000"/>
          <w:sz w:val="20"/>
          <w:szCs w:val="20"/>
          <w:lang w:eastAsia="ru-RU"/>
        </w:rPr>
        <w:t xml:space="preserve">        Рис. 2. Схема подземного выщелачивания скальных руд: 1 — ёмкость для растворителя; 2 — насос; 3 — трубопровод рабочих растворов; 4 — отрабатываемый блок руды; 5 — ёмкость для сбора продуктивных растворов; 6 — насос; 7 — ёмкость для продуктивных растворов на поверхности; 8 — сорбционная установка; 9 — отстойник отработанного раствора; 10 — ёмкость для </w:t>
      </w:r>
      <w:proofErr w:type="spellStart"/>
      <w:r w:rsidRPr="00EB6605">
        <w:rPr>
          <w:rFonts w:ascii="Arial" w:eastAsia="Times New Roman" w:hAnsi="Arial" w:cs="Arial"/>
          <w:color w:val="000000"/>
          <w:sz w:val="20"/>
          <w:szCs w:val="20"/>
          <w:lang w:eastAsia="ru-RU"/>
        </w:rPr>
        <w:t>доукрепления</w:t>
      </w:r>
      <w:proofErr w:type="spellEnd"/>
      <w:r w:rsidRPr="00EB6605">
        <w:rPr>
          <w:rFonts w:ascii="Arial" w:eastAsia="Times New Roman" w:hAnsi="Arial" w:cs="Arial"/>
          <w:color w:val="000000"/>
          <w:sz w:val="20"/>
          <w:szCs w:val="20"/>
          <w:lang w:eastAsia="ru-RU"/>
        </w:rPr>
        <w:t xml:space="preserve"> растворов; 11 — пресс-фильтр.</w:t>
      </w:r>
    </w:p>
    <w:p w:rsidR="00EB6605" w:rsidRDefault="00EB6605"/>
    <w:sectPr w:rsidR="00EB6605" w:rsidSect="00A302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C62F1"/>
    <w:multiLevelType w:val="multilevel"/>
    <w:tmpl w:val="006C8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EB6605"/>
    <w:rsid w:val="00A30282"/>
    <w:rsid w:val="00EB6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282"/>
  </w:style>
  <w:style w:type="paragraph" w:styleId="2">
    <w:name w:val="heading 2"/>
    <w:basedOn w:val="a"/>
    <w:link w:val="20"/>
    <w:uiPriority w:val="9"/>
    <w:qFormat/>
    <w:rsid w:val="00EB660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B6605"/>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EB66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B6605"/>
  </w:style>
  <w:style w:type="character" w:styleId="a4">
    <w:name w:val="Emphasis"/>
    <w:basedOn w:val="a0"/>
    <w:uiPriority w:val="20"/>
    <w:qFormat/>
    <w:rsid w:val="00EB6605"/>
    <w:rPr>
      <w:i/>
      <w:iCs/>
    </w:rPr>
  </w:style>
  <w:style w:type="character" w:styleId="a5">
    <w:name w:val="Hyperlink"/>
    <w:basedOn w:val="a0"/>
    <w:uiPriority w:val="99"/>
    <w:semiHidden/>
    <w:unhideWhenUsed/>
    <w:rsid w:val="00EB6605"/>
    <w:rPr>
      <w:color w:val="0000FF"/>
      <w:u w:val="single"/>
    </w:rPr>
  </w:style>
  <w:style w:type="paragraph" w:styleId="a6">
    <w:name w:val="Balloon Text"/>
    <w:basedOn w:val="a"/>
    <w:link w:val="a7"/>
    <w:uiPriority w:val="99"/>
    <w:semiHidden/>
    <w:unhideWhenUsed/>
    <w:rsid w:val="00EB660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B66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5806739">
      <w:bodyDiv w:val="1"/>
      <w:marLeft w:val="0"/>
      <w:marRight w:val="0"/>
      <w:marTop w:val="0"/>
      <w:marBottom w:val="0"/>
      <w:divBdr>
        <w:top w:val="none" w:sz="0" w:space="0" w:color="auto"/>
        <w:left w:val="none" w:sz="0" w:space="0" w:color="auto"/>
        <w:bottom w:val="none" w:sz="0" w:space="0" w:color="auto"/>
        <w:right w:val="none" w:sz="0" w:space="0" w:color="auto"/>
      </w:divBdr>
    </w:div>
    <w:div w:id="999773910">
      <w:bodyDiv w:val="1"/>
      <w:marLeft w:val="0"/>
      <w:marRight w:val="0"/>
      <w:marTop w:val="0"/>
      <w:marBottom w:val="0"/>
      <w:divBdr>
        <w:top w:val="none" w:sz="0" w:space="0" w:color="auto"/>
        <w:left w:val="none" w:sz="0" w:space="0" w:color="auto"/>
        <w:bottom w:val="none" w:sz="0" w:space="0" w:color="auto"/>
        <w:right w:val="none" w:sz="0" w:space="0" w:color="auto"/>
      </w:divBdr>
      <w:divsChild>
        <w:div w:id="1713577317">
          <w:marLeft w:val="0"/>
          <w:marRight w:val="0"/>
          <w:marTop w:val="0"/>
          <w:marBottom w:val="0"/>
          <w:divBdr>
            <w:top w:val="none" w:sz="0" w:space="0" w:color="auto"/>
            <w:left w:val="none" w:sz="0" w:space="0" w:color="auto"/>
            <w:bottom w:val="none" w:sz="0" w:space="0" w:color="auto"/>
            <w:right w:val="none" w:sz="0" w:space="0" w:color="auto"/>
          </w:divBdr>
        </w:div>
        <w:div w:id="1168666619">
          <w:marLeft w:val="0"/>
          <w:marRight w:val="0"/>
          <w:marTop w:val="0"/>
          <w:marBottom w:val="0"/>
          <w:divBdr>
            <w:top w:val="none" w:sz="0" w:space="0" w:color="auto"/>
            <w:left w:val="none" w:sz="0" w:space="0" w:color="auto"/>
            <w:bottom w:val="none" w:sz="0" w:space="0" w:color="auto"/>
            <w:right w:val="none" w:sz="0" w:space="0" w:color="auto"/>
          </w:divBdr>
        </w:div>
        <w:div w:id="612784492">
          <w:marLeft w:val="0"/>
          <w:marRight w:val="0"/>
          <w:marTop w:val="0"/>
          <w:marBottom w:val="0"/>
          <w:divBdr>
            <w:top w:val="none" w:sz="0" w:space="0" w:color="auto"/>
            <w:left w:val="none" w:sz="0" w:space="0" w:color="auto"/>
            <w:bottom w:val="none" w:sz="0" w:space="0" w:color="auto"/>
            <w:right w:val="none" w:sz="0" w:space="0" w:color="auto"/>
          </w:divBdr>
        </w:div>
        <w:div w:id="874656546">
          <w:marLeft w:val="0"/>
          <w:marRight w:val="0"/>
          <w:marTop w:val="0"/>
          <w:marBottom w:val="0"/>
          <w:divBdr>
            <w:top w:val="none" w:sz="0" w:space="0" w:color="auto"/>
            <w:left w:val="none" w:sz="0" w:space="0" w:color="auto"/>
            <w:bottom w:val="none" w:sz="0" w:space="0" w:color="auto"/>
            <w:right w:val="none" w:sz="0" w:space="0" w:color="auto"/>
          </w:divBdr>
        </w:div>
        <w:div w:id="885339531">
          <w:marLeft w:val="0"/>
          <w:marRight w:val="0"/>
          <w:marTop w:val="0"/>
          <w:marBottom w:val="0"/>
          <w:divBdr>
            <w:top w:val="none" w:sz="0" w:space="0" w:color="auto"/>
            <w:left w:val="none" w:sz="0" w:space="0" w:color="auto"/>
            <w:bottom w:val="none" w:sz="0" w:space="0" w:color="auto"/>
            <w:right w:val="none" w:sz="0" w:space="0" w:color="auto"/>
          </w:divBdr>
        </w:div>
        <w:div w:id="925041602">
          <w:marLeft w:val="0"/>
          <w:marRight w:val="0"/>
          <w:marTop w:val="0"/>
          <w:marBottom w:val="0"/>
          <w:divBdr>
            <w:top w:val="none" w:sz="0" w:space="0" w:color="auto"/>
            <w:left w:val="none" w:sz="0" w:space="0" w:color="auto"/>
            <w:bottom w:val="none" w:sz="0" w:space="0" w:color="auto"/>
            <w:right w:val="none" w:sz="0" w:space="0" w:color="auto"/>
          </w:divBdr>
        </w:div>
        <w:div w:id="743989994">
          <w:marLeft w:val="0"/>
          <w:marRight w:val="0"/>
          <w:marTop w:val="0"/>
          <w:marBottom w:val="0"/>
          <w:divBdr>
            <w:top w:val="none" w:sz="0" w:space="0" w:color="auto"/>
            <w:left w:val="none" w:sz="0" w:space="0" w:color="auto"/>
            <w:bottom w:val="none" w:sz="0" w:space="0" w:color="auto"/>
            <w:right w:val="none" w:sz="0" w:space="0" w:color="auto"/>
          </w:divBdr>
        </w:div>
        <w:div w:id="1413354851">
          <w:marLeft w:val="0"/>
          <w:marRight w:val="0"/>
          <w:marTop w:val="0"/>
          <w:marBottom w:val="0"/>
          <w:divBdr>
            <w:top w:val="none" w:sz="0" w:space="0" w:color="auto"/>
            <w:left w:val="none" w:sz="0" w:space="0" w:color="auto"/>
            <w:bottom w:val="none" w:sz="0" w:space="0" w:color="auto"/>
            <w:right w:val="none" w:sz="0" w:space="0" w:color="auto"/>
          </w:divBdr>
        </w:div>
        <w:div w:id="94833631">
          <w:marLeft w:val="0"/>
          <w:marRight w:val="0"/>
          <w:marTop w:val="0"/>
          <w:marBottom w:val="0"/>
          <w:divBdr>
            <w:top w:val="none" w:sz="0" w:space="0" w:color="auto"/>
            <w:left w:val="none" w:sz="0" w:space="0" w:color="auto"/>
            <w:bottom w:val="none" w:sz="0" w:space="0" w:color="auto"/>
            <w:right w:val="none" w:sz="0" w:space="0" w:color="auto"/>
          </w:divBdr>
        </w:div>
        <w:div w:id="1673413082">
          <w:marLeft w:val="0"/>
          <w:marRight w:val="0"/>
          <w:marTop w:val="0"/>
          <w:marBottom w:val="0"/>
          <w:divBdr>
            <w:top w:val="none" w:sz="0" w:space="0" w:color="auto"/>
            <w:left w:val="none" w:sz="0" w:space="0" w:color="auto"/>
            <w:bottom w:val="none" w:sz="0" w:space="0" w:color="auto"/>
            <w:right w:val="none" w:sz="0" w:space="0" w:color="auto"/>
          </w:divBdr>
        </w:div>
        <w:div w:id="1995378851">
          <w:marLeft w:val="0"/>
          <w:marRight w:val="0"/>
          <w:marTop w:val="0"/>
          <w:marBottom w:val="0"/>
          <w:divBdr>
            <w:top w:val="none" w:sz="0" w:space="0" w:color="auto"/>
            <w:left w:val="none" w:sz="0" w:space="0" w:color="auto"/>
            <w:bottom w:val="none" w:sz="0" w:space="0" w:color="auto"/>
            <w:right w:val="none" w:sz="0" w:space="0" w:color="auto"/>
          </w:divBdr>
        </w:div>
        <w:div w:id="1344282594">
          <w:marLeft w:val="0"/>
          <w:marRight w:val="0"/>
          <w:marTop w:val="0"/>
          <w:marBottom w:val="0"/>
          <w:divBdr>
            <w:top w:val="none" w:sz="0" w:space="0" w:color="auto"/>
            <w:left w:val="none" w:sz="0" w:space="0" w:color="auto"/>
            <w:bottom w:val="none" w:sz="0" w:space="0" w:color="auto"/>
            <w:right w:val="none" w:sz="0" w:space="0" w:color="auto"/>
          </w:divBdr>
        </w:div>
        <w:div w:id="837428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ic.academic.ru/dic.nsf/bse/76812/%D0%92%D1%8B%D1%89%D0%B5%D0%BB%D0%B0%D1%87%D0%B8%D0%B2%D0%B0%D0%BD%D0%B8%D0%B5" TargetMode="External"/><Relationship Id="rId3" Type="http://schemas.openxmlformats.org/officeDocument/2006/relationships/settings" Target="settings.xml"/><Relationship Id="rId7" Type="http://schemas.openxmlformats.org/officeDocument/2006/relationships/hyperlink" Target="http://dic.academic.ru/dic.nsf/bse/79182/%D0%93%D0%B8%D0%B4%D1%80%D0%BE%D0%BC%D0%B5%D1%82%D0%B0%D0%BB%D0%BB%D1%83%D1%80%D0%B3%D0%B8%D1%8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ic.academic.ru/dic.nsf/bse/66844/%D0%91%D0%B0%D0%BA%D1%82%D0%B5%D1%80%D0%B8%D0%B0%D0%BB%D1%8C%D0%BD%D0%BE%D0%B5"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image" Target="media/image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1045</Words>
  <Characters>5957</Characters>
  <Application>Microsoft Office Word</Application>
  <DocSecurity>0</DocSecurity>
  <Lines>49</Lines>
  <Paragraphs>13</Paragraphs>
  <ScaleCrop>false</ScaleCrop>
  <Company>Microsoft</Company>
  <LinksUpToDate>false</LinksUpToDate>
  <CharactersWithSpaces>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2012-12-26T15:56:00Z</dcterms:created>
  <dcterms:modified xsi:type="dcterms:W3CDTF">2012-12-26T15:58:00Z</dcterms:modified>
</cp:coreProperties>
</file>